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FE" w:rsidRDefault="00E30AFE" w:rsidP="00E30AF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7.  Szczegółowa charakterystyka przedmiotu zamówienia</w:t>
      </w:r>
    </w:p>
    <w:p w:rsidR="0024469A" w:rsidRPr="0024469A" w:rsidRDefault="0024469A" w:rsidP="00E30AFE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1. Przedmiotem zamówienia jest pełnienie </w:t>
      </w: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nadzoru inżynierskiego i inwestorskiego </w:t>
      </w:r>
      <w:r w:rsidRPr="00E30A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przy realizacji projektu pn. ,,Rozbudowa Szpitala Powiatowego w Sejnach w celu podniesienia standardu świadczonych usług” zwany dalej Inżynierem Kontraktu.</w:t>
      </w:r>
    </w:p>
    <w:p w:rsidR="00E30AFE" w:rsidRPr="0024469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Obiekt Szpitala Powiatowego zlokalizowany jest na  </w:t>
      </w:r>
      <w:r w:rsidRPr="00E30AFE">
        <w:rPr>
          <w:rFonts w:ascii="Times New Roman" w:hAnsi="Times New Roman"/>
          <w:sz w:val="24"/>
          <w:szCs w:val="24"/>
        </w:rPr>
        <w:t xml:space="preserve">działce </w:t>
      </w:r>
      <w:r w:rsidRPr="00E30AFE">
        <w:rPr>
          <w:rFonts w:ascii="Times New Roman" w:hAnsi="Times New Roman"/>
          <w:bCs/>
          <w:color w:val="000000"/>
          <w:sz w:val="24"/>
          <w:szCs w:val="24"/>
        </w:rPr>
        <w:t>nr 3 o pow. 1,9371 ha w obrębie ewidencyjnym miasto Sejny i jednostce ewidencyjnej Sejny</w:t>
      </w:r>
      <w:r w:rsidRPr="00E30AF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E30AFE" w:rsidRPr="0024469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2"/>
          <w:szCs w:val="12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2. Zakres rzeczowy usług i terminy wykonania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Szczegółowy zakres obowiązków i czynności wykonawcy pełniącego funkcję Inżyniera i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sprawującego nadzór inwestorski obejmuje:</w:t>
      </w:r>
    </w:p>
    <w:p w:rsidR="00E30AFE" w:rsidRDefault="00E30AFE" w:rsidP="00AB50E3">
      <w:pPr>
        <w:numPr>
          <w:ilvl w:val="3"/>
          <w:numId w:val="12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Zapoznanie się z wykonaną dokumentacją projektowo-kosztorysową.</w:t>
      </w:r>
    </w:p>
    <w:p w:rsidR="00E30AFE" w:rsidRPr="00AB50E3" w:rsidRDefault="00E30AFE" w:rsidP="00AB50E3">
      <w:pPr>
        <w:numPr>
          <w:ilvl w:val="3"/>
          <w:numId w:val="12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sz w:val="24"/>
          <w:szCs w:val="24"/>
          <w:lang w:eastAsia="pl-PL"/>
        </w:rPr>
        <w:t xml:space="preserve">Od dnia uzyskania kompletnej dokumentacji projektowej inwestycji, Wykonawca przygotuje oraz przeprowadzi we współpracy z Zamawiającym postępowanie przetargowe w zakresie wyboru wykonawcy na dostawę i zamontowanie sprzętu medycznego zgodnie </w:t>
      </w:r>
      <w:r w:rsidRPr="00AB50E3">
        <w:rPr>
          <w:rFonts w:ascii="Times New Roman" w:eastAsia="Times New Roman" w:hAnsi="Times New Roman"/>
          <w:bCs/>
          <w:sz w:val="24"/>
          <w:szCs w:val="24"/>
          <w:lang w:eastAsia="pl-PL"/>
        </w:rPr>
        <w:t>z obowiązującą ustawą Prawo zamówień publicznych.</w:t>
      </w:r>
      <w:r w:rsidRPr="00AB50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30AFE" w:rsidRPr="00AB50E3" w:rsidRDefault="00E30AFE" w:rsidP="00AB50E3">
      <w:pPr>
        <w:numPr>
          <w:ilvl w:val="3"/>
          <w:numId w:val="12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sz w:val="24"/>
          <w:szCs w:val="24"/>
          <w:lang w:eastAsia="pl-PL"/>
        </w:rPr>
        <w:t>Zamawiający zastrzega, że w przypadku przeprowadzenia postępowania o zamówienie publiczne z naruszeniem przepisów prawa za które RPOWP  zastosuje korektę finansową, wysokość tej  korekty Zamawiający będzie ściągał od Wykonawcy.</w:t>
      </w:r>
    </w:p>
    <w:p w:rsidR="00AB50E3" w:rsidRPr="00ED06AF" w:rsidRDefault="00E30AFE" w:rsidP="00ED06AF">
      <w:pPr>
        <w:numPr>
          <w:ilvl w:val="3"/>
          <w:numId w:val="12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Nadzór i kontrolę, w tym  nadzór wymagany ustawą Prawo Budowlane zgodnie z uzyskanym w trakcie procesu inwestycyjnego pozwoleniem na budowę, nad całym procesem inwestycyjnym, w tym w szczególności: 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Powiadomienie organu nadzoru budowlanego o </w:t>
      </w:r>
      <w:r w:rsidR="00ED0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zmianie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oświadczenia kierownika budowy i inspektora/ów nadzoru, stwierdzających przejęcie obowiązków przypisanych tym funkcjom na budowie,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Odbieranie od wykonawcy robót budowlanych i przedkładanie do zatwierdzania przez </w:t>
      </w:r>
      <w:r w:rsidRPr="00AB5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Inwestora </w:t>
      </w: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uzgodnionych harmonogramów rzeczowo-finansowych robót i planów płatności,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Kontrolę zatwierdzonego harmonogramu wykonawcy robót budowlanych pod kątem identyfikacji i monitorowania jakichkolwiek zmian w kolejności wykonywania robót, zaangażowania odpowiedniej fachowej siły roboczej i środków techniczno-organizacyjnych, kontrola rozpoczęcia i zakończenia wykonywania poszczególnych robót i ostatecznego zakończenia realizacji poszczególnych etapów,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Dokonywanie odbioru oraz wpisów do dziennika budowy zakończenia robót ulegających zakryciu.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Sprawowanie kontroli zgodności realizacji prac z zatwierdzoną dokumentacją projektową w zakresie wszystkich branż, pozwoleniem na budowę, przepisami i obowiązującymi Polskimi Normami oraz zasadami Prawa Budowlanego, sztuki budowlanej, wiedzy technicznej,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Organizowanie i prowadzenie narad koordynacyjnych i komisji technologicznych oraz sporządzanie z nich protokołów i przekazanie ich Inwestorowi,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Sprawdzanie jakości wykonanych robót, wbudowanych wyrobów i urządzeń, a w szczególności zapobieganie stosowaniu wyrobów wadliwych i niedopuszczonych do obrotu i stosowania w budownictwie, bądź niezgodnych z wymaganiami zawartymi w specyfikacjach technicznych wykonania i odbioru robót,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Sprawdzanie jakości i ilości robót, dokonywanie odbioru robót budowlanych ulegających zakryciu lub zanikających, uczestniczenie w próbach i odbiorach technicznych instalacji, urządzeń technicznych i przewodów kominowych oraz przygotowanie czynności odbioru gotowych obiektów budowlanych i przekazanie ich do użytkowania,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Przestrzeganie wykonywania warunków umów zawartych przez </w:t>
      </w:r>
      <w:r w:rsidRPr="00AB5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Inwestora </w:t>
      </w: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wykonawcami robót budowlanych,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Bieżące informowanie </w:t>
      </w:r>
      <w:r w:rsidRPr="00AB5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Inwestora </w:t>
      </w: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przebiegu i stopniu zaawansowania robót, 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Stała współpraca i doradztwo fachowe na rzecz </w:t>
      </w:r>
      <w:r w:rsidRPr="00AB5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Inwestora</w:t>
      </w: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E30AFE" w:rsidRDefault="00AB50E3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="00E30AFE"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kompletowanie dokumentacji powykonawczej, przekazanej przez wykonawcę robót budowlanych,</w:t>
      </w:r>
    </w:p>
    <w:p w:rsidR="00E30AFE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Uzyskanie w imieniu </w:t>
      </w:r>
      <w:r w:rsidRPr="00AB5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Inwestora </w:t>
      </w: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decyzji –pozwolenia na użytkowanie.</w:t>
      </w:r>
    </w:p>
    <w:p w:rsidR="00E30AFE" w:rsidRPr="00AB50E3" w:rsidRDefault="00E30AFE" w:rsidP="00AB50E3">
      <w:pPr>
        <w:numPr>
          <w:ilvl w:val="0"/>
          <w:numId w:val="29"/>
        </w:numPr>
        <w:tabs>
          <w:tab w:val="left" w:pos="567"/>
          <w:tab w:val="left" w:pos="8505"/>
        </w:tabs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Uzyskanie w imieniu Inwestora świadectwa charakterystyki energetycznej budynku</w:t>
      </w:r>
    </w:p>
    <w:p w:rsidR="00E30AFE" w:rsidRDefault="00E30AFE" w:rsidP="00AB50E3">
      <w:pPr>
        <w:numPr>
          <w:ilvl w:val="3"/>
          <w:numId w:val="12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Wykonywanie czynności wynikających z praw i obowiązków </w:t>
      </w: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Zamawiającego 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 gwarancji i rękojmi za wady fizyczne obiektu.</w:t>
      </w:r>
    </w:p>
    <w:p w:rsidR="00E30AFE" w:rsidRDefault="00E30AFE" w:rsidP="00AB50E3">
      <w:pPr>
        <w:numPr>
          <w:ilvl w:val="3"/>
          <w:numId w:val="12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Sprawowanie bieżącej kontroli finansowej wydatków zgodnie z wnioskiem o    dofinansowanie.</w:t>
      </w:r>
    </w:p>
    <w:p w:rsidR="00E30AFE" w:rsidRDefault="00E30AFE" w:rsidP="00AB50E3">
      <w:pPr>
        <w:numPr>
          <w:ilvl w:val="3"/>
          <w:numId w:val="12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Sprawdzanie i akceptacja dokumentów rozliczeniowych, złożonych przez projektanta dokumentacji oraz wykonawcę robót budowlanych, pod względem merytorycznym i rachunkowym.</w:t>
      </w:r>
    </w:p>
    <w:p w:rsidR="00E30AFE" w:rsidRDefault="00E30AFE" w:rsidP="00AB50E3">
      <w:pPr>
        <w:numPr>
          <w:ilvl w:val="3"/>
          <w:numId w:val="12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Wykonywania obowiązków wynikających z wytycznych IZ w zakresie rozliczania wniosku o dofinansowanie w ramach RPOWP.</w:t>
      </w:r>
    </w:p>
    <w:p w:rsidR="00E30AFE" w:rsidRDefault="00E30AFE" w:rsidP="00AB50E3">
      <w:pPr>
        <w:numPr>
          <w:ilvl w:val="3"/>
          <w:numId w:val="12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Sporządzanie planów strategicznych i planów pracy zgodnie z wymogami RPOWP.</w:t>
      </w:r>
    </w:p>
    <w:p w:rsidR="00E30AFE" w:rsidRDefault="00E30AFE" w:rsidP="00AB50E3">
      <w:pPr>
        <w:numPr>
          <w:ilvl w:val="3"/>
          <w:numId w:val="12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Współpraca przy opracowaniu sprawozdań oraz innej korespondencji zgodnie  wymogami RPOWP.</w:t>
      </w:r>
    </w:p>
    <w:p w:rsidR="00E30AFE" w:rsidRPr="00AB50E3" w:rsidRDefault="00E30AFE" w:rsidP="00AB50E3">
      <w:pPr>
        <w:numPr>
          <w:ilvl w:val="3"/>
          <w:numId w:val="12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Przygotowywanie do akceptacji przez Zamawiającego następujących dokumentów: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wniosków Beneficjanta o płatności;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okresowych i końcowego sprawozdania z realizacji projektu;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innych informacji wymaganych przez instytucję zarządzającą.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12. Nadzorowanie kontraktu zgodnie z projektem umowy o dofinansowaniu zadania.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13. Przekazywanie Zamawiającemu raportów miesięcznych z realizacji usługi.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14. Obowiązkiem Inżyniera jest bieżące informowanie Zamawiającego o prawdopodobnych przyszłych zdarzeniach i okolicznościach, które mogą mieć negatywny wpływ na jakość robót lub opóźnienie realizacji terminu wykonania robót. </w:t>
      </w:r>
    </w:p>
    <w:p w:rsidR="00E30AFE" w:rsidRPr="0024469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E30AFE" w:rsidRPr="0024469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  <w:r w:rsidRPr="0024469A"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t>….......................................................................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  <w:bookmarkStart w:id="0" w:name="_GoBack"/>
      <w:bookmarkEnd w:id="0"/>
    </w:p>
    <w:sectPr w:rsidR="00E30AFE" w:rsidRPr="00E30AFE" w:rsidSect="008A5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52" w:rsidRDefault="00256452" w:rsidP="00AC0590">
      <w:pPr>
        <w:spacing w:after="0" w:line="240" w:lineRule="auto"/>
      </w:pPr>
      <w:r>
        <w:separator/>
      </w:r>
    </w:p>
  </w:endnote>
  <w:endnote w:type="continuationSeparator" w:id="0">
    <w:p w:rsidR="00256452" w:rsidRDefault="00256452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2C4CCB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0D913" wp14:editId="69A4AAF5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D3F58E9" wp14:editId="3242CFAB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52" w:rsidRDefault="00256452" w:rsidP="00AC0590">
      <w:pPr>
        <w:spacing w:after="0" w:line="240" w:lineRule="auto"/>
      </w:pPr>
      <w:r>
        <w:separator/>
      </w:r>
    </w:p>
  </w:footnote>
  <w:footnote w:type="continuationSeparator" w:id="0">
    <w:p w:rsidR="00256452" w:rsidRDefault="00256452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2C4CCB">
    <w:pPr>
      <w:pStyle w:val="Nagwek"/>
    </w:pPr>
    <w:r>
      <w:rPr>
        <w:noProof/>
        <w:lang w:eastAsia="pl-PL"/>
      </w:rPr>
      <w:drawing>
        <wp:inline distT="0" distB="0" distL="0" distR="0" wp14:anchorId="553965C4" wp14:editId="1601FCED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02BC15F4"/>
    <w:multiLevelType w:val="hybridMultilevel"/>
    <w:tmpl w:val="FDF8A37E"/>
    <w:lvl w:ilvl="0" w:tplc="C7802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C77"/>
    <w:multiLevelType w:val="hybridMultilevel"/>
    <w:tmpl w:val="9E349F28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F7E"/>
    <w:multiLevelType w:val="hybridMultilevel"/>
    <w:tmpl w:val="B704AF2A"/>
    <w:lvl w:ilvl="0" w:tplc="7A9C1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718"/>
    <w:multiLevelType w:val="hybridMultilevel"/>
    <w:tmpl w:val="70B8BA88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4F7"/>
    <w:multiLevelType w:val="hybridMultilevel"/>
    <w:tmpl w:val="A9C45234"/>
    <w:lvl w:ilvl="0" w:tplc="128E279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F277A"/>
    <w:multiLevelType w:val="hybridMultilevel"/>
    <w:tmpl w:val="E3F23652"/>
    <w:lvl w:ilvl="0" w:tplc="BFBA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2A32"/>
    <w:multiLevelType w:val="hybridMultilevel"/>
    <w:tmpl w:val="DFA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B1FCA"/>
    <w:multiLevelType w:val="hybridMultilevel"/>
    <w:tmpl w:val="8FDA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4370B"/>
    <w:multiLevelType w:val="hybridMultilevel"/>
    <w:tmpl w:val="6C7A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8723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157F7"/>
    <w:multiLevelType w:val="hybridMultilevel"/>
    <w:tmpl w:val="3600FC1C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1B5B"/>
    <w:multiLevelType w:val="hybridMultilevel"/>
    <w:tmpl w:val="6904582E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B61EC"/>
    <w:multiLevelType w:val="hybridMultilevel"/>
    <w:tmpl w:val="B1DCF9E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3D27"/>
    <w:multiLevelType w:val="hybridMultilevel"/>
    <w:tmpl w:val="82D219A0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7DA0"/>
    <w:multiLevelType w:val="hybridMultilevel"/>
    <w:tmpl w:val="3962DCAE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459BB"/>
    <w:multiLevelType w:val="hybridMultilevel"/>
    <w:tmpl w:val="B2AE616E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3E90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23A02"/>
    <w:multiLevelType w:val="hybridMultilevel"/>
    <w:tmpl w:val="1BAE60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E231DF"/>
    <w:multiLevelType w:val="hybridMultilevel"/>
    <w:tmpl w:val="8B8E5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41894"/>
    <w:multiLevelType w:val="hybridMultilevel"/>
    <w:tmpl w:val="F1AAA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35EA0"/>
    <w:multiLevelType w:val="hybridMultilevel"/>
    <w:tmpl w:val="B45011AA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B34CD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352AF"/>
    <w:multiLevelType w:val="hybridMultilevel"/>
    <w:tmpl w:val="7652916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E34D4"/>
    <w:multiLevelType w:val="hybridMultilevel"/>
    <w:tmpl w:val="E760E9B2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14FC4"/>
    <w:multiLevelType w:val="hybridMultilevel"/>
    <w:tmpl w:val="D5384000"/>
    <w:lvl w:ilvl="0" w:tplc="2686374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F71708D"/>
    <w:multiLevelType w:val="hybridMultilevel"/>
    <w:tmpl w:val="ECDEA482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B1437"/>
    <w:multiLevelType w:val="hybridMultilevel"/>
    <w:tmpl w:val="D87A7B66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8"/>
  </w:num>
  <w:num w:numId="5">
    <w:abstractNumId w:val="26"/>
  </w:num>
  <w:num w:numId="6">
    <w:abstractNumId w:val="9"/>
  </w:num>
  <w:num w:numId="7">
    <w:abstractNumId w:val="2"/>
  </w:num>
  <w:num w:numId="8">
    <w:abstractNumId w:val="29"/>
  </w:num>
  <w:num w:numId="9">
    <w:abstractNumId w:val="5"/>
  </w:num>
  <w:num w:numId="10">
    <w:abstractNumId w:val="16"/>
  </w:num>
  <w:num w:numId="11">
    <w:abstractNumId w:val="7"/>
  </w:num>
  <w:num w:numId="12">
    <w:abstractNumId w:val="21"/>
  </w:num>
  <w:num w:numId="13">
    <w:abstractNumId w:val="22"/>
  </w:num>
  <w:num w:numId="14">
    <w:abstractNumId w:val="28"/>
  </w:num>
  <w:num w:numId="15">
    <w:abstractNumId w:val="14"/>
  </w:num>
  <w:num w:numId="16">
    <w:abstractNumId w:val="12"/>
  </w:num>
  <w:num w:numId="17">
    <w:abstractNumId w:val="10"/>
  </w:num>
  <w:num w:numId="18">
    <w:abstractNumId w:val="6"/>
  </w:num>
  <w:num w:numId="19">
    <w:abstractNumId w:val="4"/>
  </w:num>
  <w:num w:numId="20">
    <w:abstractNumId w:val="24"/>
  </w:num>
  <w:num w:numId="21">
    <w:abstractNumId w:val="25"/>
  </w:num>
  <w:num w:numId="22">
    <w:abstractNumId w:val="23"/>
  </w:num>
  <w:num w:numId="23">
    <w:abstractNumId w:val="17"/>
  </w:num>
  <w:num w:numId="24">
    <w:abstractNumId w:val="19"/>
  </w:num>
  <w:num w:numId="25">
    <w:abstractNumId w:val="15"/>
  </w:num>
  <w:num w:numId="26">
    <w:abstractNumId w:val="13"/>
  </w:num>
  <w:num w:numId="27">
    <w:abstractNumId w:val="27"/>
  </w:num>
  <w:num w:numId="28">
    <w:abstractNumId w:val="1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37531"/>
    <w:rsid w:val="00040F99"/>
    <w:rsid w:val="00043BC3"/>
    <w:rsid w:val="00050799"/>
    <w:rsid w:val="00055175"/>
    <w:rsid w:val="0006052A"/>
    <w:rsid w:val="00061831"/>
    <w:rsid w:val="00063C34"/>
    <w:rsid w:val="00095EC4"/>
    <w:rsid w:val="000A03ED"/>
    <w:rsid w:val="000C2C45"/>
    <w:rsid w:val="000E73C9"/>
    <w:rsid w:val="0010150C"/>
    <w:rsid w:val="00102BA8"/>
    <w:rsid w:val="00110D41"/>
    <w:rsid w:val="00115B4A"/>
    <w:rsid w:val="00146D9F"/>
    <w:rsid w:val="00184CB5"/>
    <w:rsid w:val="001A2D07"/>
    <w:rsid w:val="001B1A58"/>
    <w:rsid w:val="001C03A2"/>
    <w:rsid w:val="001C6F89"/>
    <w:rsid w:val="002030FC"/>
    <w:rsid w:val="00206C4F"/>
    <w:rsid w:val="002244EF"/>
    <w:rsid w:val="00230339"/>
    <w:rsid w:val="00242C51"/>
    <w:rsid w:val="0024469A"/>
    <w:rsid w:val="00252D75"/>
    <w:rsid w:val="002530A2"/>
    <w:rsid w:val="00256452"/>
    <w:rsid w:val="0026454D"/>
    <w:rsid w:val="00276E9C"/>
    <w:rsid w:val="002832CA"/>
    <w:rsid w:val="002A6AAF"/>
    <w:rsid w:val="002B68D8"/>
    <w:rsid w:val="002C0037"/>
    <w:rsid w:val="002C4CCB"/>
    <w:rsid w:val="002E0E29"/>
    <w:rsid w:val="002E51FC"/>
    <w:rsid w:val="00304E10"/>
    <w:rsid w:val="00305A47"/>
    <w:rsid w:val="00307E45"/>
    <w:rsid w:val="00311BBA"/>
    <w:rsid w:val="00317D79"/>
    <w:rsid w:val="0032711F"/>
    <w:rsid w:val="00354F7C"/>
    <w:rsid w:val="00387E9B"/>
    <w:rsid w:val="003B0236"/>
    <w:rsid w:val="003C5727"/>
    <w:rsid w:val="003D4501"/>
    <w:rsid w:val="003E59EA"/>
    <w:rsid w:val="0043642E"/>
    <w:rsid w:val="0044365B"/>
    <w:rsid w:val="00461257"/>
    <w:rsid w:val="0046783E"/>
    <w:rsid w:val="00477484"/>
    <w:rsid w:val="00495123"/>
    <w:rsid w:val="00496595"/>
    <w:rsid w:val="004B55E5"/>
    <w:rsid w:val="004D469D"/>
    <w:rsid w:val="004E17F3"/>
    <w:rsid w:val="004E56C8"/>
    <w:rsid w:val="005219D9"/>
    <w:rsid w:val="00543C77"/>
    <w:rsid w:val="00557EBC"/>
    <w:rsid w:val="005857B1"/>
    <w:rsid w:val="00586ED0"/>
    <w:rsid w:val="005A4878"/>
    <w:rsid w:val="005A5728"/>
    <w:rsid w:val="005C5FA3"/>
    <w:rsid w:val="005D22C4"/>
    <w:rsid w:val="005E1456"/>
    <w:rsid w:val="005E399D"/>
    <w:rsid w:val="005F3F4C"/>
    <w:rsid w:val="005F6F47"/>
    <w:rsid w:val="006252B5"/>
    <w:rsid w:val="00647905"/>
    <w:rsid w:val="006620AF"/>
    <w:rsid w:val="00676B07"/>
    <w:rsid w:val="006859A4"/>
    <w:rsid w:val="006B3473"/>
    <w:rsid w:val="007019B5"/>
    <w:rsid w:val="00706ACE"/>
    <w:rsid w:val="00752E91"/>
    <w:rsid w:val="007A4B8B"/>
    <w:rsid w:val="007D1E7B"/>
    <w:rsid w:val="00822462"/>
    <w:rsid w:val="00831AA4"/>
    <w:rsid w:val="0083326C"/>
    <w:rsid w:val="00841724"/>
    <w:rsid w:val="00862959"/>
    <w:rsid w:val="00871115"/>
    <w:rsid w:val="0089638F"/>
    <w:rsid w:val="008A5740"/>
    <w:rsid w:val="008F2C65"/>
    <w:rsid w:val="00922499"/>
    <w:rsid w:val="00930A37"/>
    <w:rsid w:val="009B1C10"/>
    <w:rsid w:val="009D2B87"/>
    <w:rsid w:val="00A03303"/>
    <w:rsid w:val="00A36A2B"/>
    <w:rsid w:val="00A55713"/>
    <w:rsid w:val="00A72F16"/>
    <w:rsid w:val="00A763B2"/>
    <w:rsid w:val="00A86403"/>
    <w:rsid w:val="00A9259A"/>
    <w:rsid w:val="00A97571"/>
    <w:rsid w:val="00AB50E3"/>
    <w:rsid w:val="00AC0590"/>
    <w:rsid w:val="00AD05C5"/>
    <w:rsid w:val="00AF3D7A"/>
    <w:rsid w:val="00B0676A"/>
    <w:rsid w:val="00B24907"/>
    <w:rsid w:val="00B32A34"/>
    <w:rsid w:val="00B32AEE"/>
    <w:rsid w:val="00B47C84"/>
    <w:rsid w:val="00B52084"/>
    <w:rsid w:val="00B75615"/>
    <w:rsid w:val="00B7578C"/>
    <w:rsid w:val="00BC6D6D"/>
    <w:rsid w:val="00BF3C39"/>
    <w:rsid w:val="00C0728C"/>
    <w:rsid w:val="00C07AD8"/>
    <w:rsid w:val="00C15DD9"/>
    <w:rsid w:val="00C30C48"/>
    <w:rsid w:val="00C34FFD"/>
    <w:rsid w:val="00C42DDC"/>
    <w:rsid w:val="00C8080B"/>
    <w:rsid w:val="00C81BEE"/>
    <w:rsid w:val="00C83FA9"/>
    <w:rsid w:val="00C875F8"/>
    <w:rsid w:val="00C87A9A"/>
    <w:rsid w:val="00CA13C3"/>
    <w:rsid w:val="00CB23BD"/>
    <w:rsid w:val="00CD48DB"/>
    <w:rsid w:val="00CE7C11"/>
    <w:rsid w:val="00D04988"/>
    <w:rsid w:val="00D10575"/>
    <w:rsid w:val="00D25611"/>
    <w:rsid w:val="00D41913"/>
    <w:rsid w:val="00D41E07"/>
    <w:rsid w:val="00D525CB"/>
    <w:rsid w:val="00D6561E"/>
    <w:rsid w:val="00D96F2D"/>
    <w:rsid w:val="00E30AFE"/>
    <w:rsid w:val="00E703EB"/>
    <w:rsid w:val="00E86DB8"/>
    <w:rsid w:val="00E93BFE"/>
    <w:rsid w:val="00EC3C72"/>
    <w:rsid w:val="00EC76C1"/>
    <w:rsid w:val="00ED06AF"/>
    <w:rsid w:val="00EF5721"/>
    <w:rsid w:val="00F05663"/>
    <w:rsid w:val="00F3218D"/>
    <w:rsid w:val="00F34024"/>
    <w:rsid w:val="00F811CC"/>
    <w:rsid w:val="00F85FAD"/>
    <w:rsid w:val="00F9623F"/>
    <w:rsid w:val="00FC0BAA"/>
    <w:rsid w:val="00FD2F62"/>
    <w:rsid w:val="00FE48B9"/>
    <w:rsid w:val="00FE6C80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2</cp:revision>
  <cp:lastPrinted>2014-04-16T05:32:00Z</cp:lastPrinted>
  <dcterms:created xsi:type="dcterms:W3CDTF">2014-04-16T16:38:00Z</dcterms:created>
  <dcterms:modified xsi:type="dcterms:W3CDTF">2014-04-16T16:38:00Z</dcterms:modified>
</cp:coreProperties>
</file>